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Lectio Divina</w:t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พฤศจิกายน</w:t>
      </w:r>
      <w:r>
        <w:rPr>
          <w:sz w:val="34"/>
          <w:szCs w:val="34"/>
          <w:rtl w:val="0"/>
          <w:lang w:val="en-US"/>
        </w:rPr>
        <w:t xml:space="preserve"> 2018</w:t>
      </w:r>
    </w:p>
    <w:p>
      <w:pPr>
        <w:pStyle w:val="Body"/>
        <w:rPr>
          <w:sz w:val="34"/>
          <w:szCs w:val="34"/>
        </w:rPr>
      </w:pPr>
    </w:p>
    <w:p>
      <w:pPr>
        <w:pStyle w:val="Body"/>
        <w:jc w:val="center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ข้าพเจ้ามีชีวิตอยู่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มิใช่ตัวข้าพเจ้าอีกต่อไป</w:t>
      </w:r>
    </w:p>
    <w:p>
      <w:pPr>
        <w:pStyle w:val="Body"/>
        <w:jc w:val="center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แต่พระคริสตเจ้า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ทรงดำรงชีวิตอยู่ในตัวข้าพเจ้า</w:t>
      </w:r>
    </w:p>
    <w:p>
      <w:pPr>
        <w:pStyle w:val="Body"/>
        <w:jc w:val="center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 xml:space="preserve">Lectio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พระเจ้าตรัสอะไร</w:t>
      </w:r>
      <w:r>
        <w:rPr>
          <w:sz w:val="34"/>
          <w:szCs w:val="34"/>
          <w:rtl w:val="0"/>
        </w:rPr>
        <w:t>)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มก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rtl w:val="0"/>
          <w:lang w:val="en-US"/>
        </w:rPr>
        <w:t>12:38-44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Heading 2"/>
        <w:bidi w:val="0"/>
        <w:ind w:left="0" w:right="0" w:firstLine="0"/>
        <w:jc w:val="both"/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</w:pP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พระเยซูเจ้าทรงประณามบรรดาธรรมาจารย์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vertAlign w:val="superscript"/>
          <w:rtl w:val="0"/>
          <w:lang w:val="en-US"/>
        </w:rPr>
        <w:t>38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พระเยซูเจ้าตรัสกับประชาชนขณะที่ทรงสั่งสอนว่า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 “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จงระวังบรรดาธรรมาจารย์ที่ชอบสวมเสื้อยาวเดินไปมา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พอใจให้คนทั้งหลายคำนับตามลานสาธารณะ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Times New Roman" w:cs="CordiaUPC" w:hAnsi="Times New Roman" w:eastAsia="CordiaUPC"/>
          <w:sz w:val="34"/>
          <w:szCs w:val="34"/>
          <w:u w:color="000000"/>
          <w:vertAlign w:val="superscript"/>
          <w:rtl w:val="0"/>
          <w:lang w:val="en-US"/>
        </w:rPr>
        <w:t>39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พอใจนั่งแถวหน้าในศาลาธรรม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พอใจนั่งที่หัวโต๊ะในงานเลี้ยง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Times New Roman" w:cs="CordiaUPC" w:hAnsi="Times New Roman" w:eastAsia="CordiaUPC"/>
          <w:sz w:val="34"/>
          <w:szCs w:val="34"/>
          <w:u w:color="000000"/>
          <w:vertAlign w:val="superscript"/>
          <w:rtl w:val="0"/>
          <w:lang w:val="en-US"/>
        </w:rPr>
        <w:t>40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คนพวกนี้กินบ้านของหญิงม่าย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และอธิษฐานภาวนายืดยาวเพื่อให้คนมอง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คนเหล่านี้จะรับโทษหนักกว่าผู้อื่น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Heading 2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เศษเงินของหญิงม่าย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vertAlign w:val="superscript"/>
          <w:rtl w:val="0"/>
          <w:lang w:val="en-US"/>
        </w:rPr>
        <w:t>41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ขณะที่พระองค์ประทับนั่งตรงหน้าตู้ทาน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ทอดพระเนตรเห็นประชาชนใส่เงินลงในตู้ทานคนมั่งมีหลายคนใส่เงินจำนวนมาก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Times New Roman" w:cs="CordiaUPC" w:hAnsi="Times New Roman" w:eastAsia="CordiaUPC"/>
          <w:sz w:val="34"/>
          <w:szCs w:val="34"/>
          <w:u w:color="000000"/>
          <w:vertAlign w:val="superscript"/>
          <w:rtl w:val="0"/>
          <w:lang w:val="en-US"/>
        </w:rPr>
        <w:t>42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หญิงม่ายยากจนคนหนึ่งเข้ามา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เอาเหรียญทองแดงสองเหรียญใส่ลงในตู้ทาน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Times New Roman" w:cs="CordiaUPC" w:hAnsi="Times New Roman" w:eastAsia="CordiaUPC"/>
          <w:sz w:val="34"/>
          <w:szCs w:val="34"/>
          <w:u w:color="000000"/>
          <w:vertAlign w:val="superscript"/>
          <w:rtl w:val="0"/>
          <w:lang w:val="en-US"/>
        </w:rPr>
        <w:t>43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พระองค์จึงทรงเรียกบรรดาศิษย์เข้ามาตรัสว่า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 “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เราบอกความจริงแก่ท่านทั้งหลายว่า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หญิงม่ายยากจนคนนี้ได้ทำทานมากกว่าทุกคนที่ได้ใส่เงินลงในตู้ทาน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Times New Roman" w:cs="CordiaUPC" w:hAnsi="Times New Roman" w:eastAsia="CordiaUPC"/>
          <w:sz w:val="34"/>
          <w:szCs w:val="34"/>
          <w:u w:color="000000"/>
          <w:vertAlign w:val="superscript"/>
          <w:rtl w:val="0"/>
          <w:lang w:val="en-US"/>
        </w:rPr>
        <w:t>44</w:t>
      </w:r>
      <w:r>
        <w:rPr>
          <w:rFonts w:ascii="BrowalliaUPC" w:cs="BrowalliaUPC" w:hAnsi="BrowalliaUPC" w:eastAsia="BrowalliaUPC"/>
          <w:sz w:val="34"/>
          <w:szCs w:val="34"/>
          <w:u w:color="000000"/>
          <w:rtl w:val="0"/>
          <w:lang w:val="en-US"/>
        </w:rPr>
        <w:t>เพราะทุกคนเอาเงินที่เหลือใช้มาทำทาน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b w:val="1"/>
          <w:bCs w:val="1"/>
          <w:sz w:val="34"/>
          <w:szCs w:val="34"/>
          <w:u w:val="single" w:color="000000"/>
          <w:rtl w:val="0"/>
          <w:lang w:val="en-US"/>
        </w:rPr>
        <w:t>แต่หญิงคนนี้ขัดสนอยู่แล้ว</w:t>
      </w:r>
      <w:r>
        <w:rPr>
          <w:rFonts w:ascii="Times New Roman" w:cs="CordiaUPC" w:hAnsi="Times New Roman" w:eastAsia="CordiaUPC"/>
          <w:b w:val="1"/>
          <w:bCs w:val="1"/>
          <w:sz w:val="34"/>
          <w:szCs w:val="34"/>
          <w:u w:val="single"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b w:val="1"/>
          <w:bCs w:val="1"/>
          <w:sz w:val="34"/>
          <w:szCs w:val="34"/>
          <w:u w:val="single" w:color="000000"/>
          <w:rtl w:val="0"/>
          <w:lang w:val="en-US"/>
        </w:rPr>
        <w:t>ยังนำเงินทั้งหมด</w:t>
      </w:r>
      <w:r>
        <w:rPr>
          <w:rFonts w:ascii="Times New Roman" w:cs="CordiaUPC" w:hAnsi="Times New Roman" w:eastAsia="CordiaUPC"/>
          <w:b w:val="1"/>
          <w:bCs w:val="1"/>
          <w:sz w:val="34"/>
          <w:szCs w:val="34"/>
          <w:u w:val="single" w:color="000000"/>
          <w:rtl w:val="0"/>
          <w:lang w:val="en-US"/>
        </w:rPr>
        <w:t xml:space="preserve"> </w:t>
      </w:r>
      <w:r>
        <w:rPr>
          <w:rFonts w:ascii="BrowalliaUPC" w:cs="BrowalliaUPC" w:hAnsi="BrowalliaUPC" w:eastAsia="BrowalliaUPC"/>
          <w:b w:val="1"/>
          <w:bCs w:val="1"/>
          <w:sz w:val="34"/>
          <w:szCs w:val="34"/>
          <w:u w:val="single" w:color="000000"/>
          <w:rtl w:val="0"/>
          <w:lang w:val="en-US"/>
        </w:rPr>
        <w:t>นำทุกอย่างที่มีอยู่สำหรับเลี้ยงชีวิตมาทำทาน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@</w:t>
      </w: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พระเยซูเจ้าประทับนั่งตรงหน้าตู้ทาน</w:t>
      </w: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  <w:tab/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พระเยซูเจ้าทรงเตือนศิษย์ของพระองค์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อย่าทำตามแบบอย่างของบรรดาธรรมาจารย์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เขาเหล่านั้นแสวงหาผละประโยชน์ของตนเองเป็นสำคัญ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ส่วนพระองค์ผู้ทรงเป็นอาจารย์หนึ่งเดียว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อ้าง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ยน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13,13)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ทรงบังเกิดมา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เพื่อรับใช้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ทรงเลือกที่สุดท้าย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และสิ้นพระชนม์บนกางเขน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คำสอนของพระองค์เป็นความสัตย์จริง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ไม่หลอกลวง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แต่มนุษยชาติไม่ยอมรับรู้ความจริง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เพราะบาปทำให้เขาเป็นเช่นนั้น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พระเยซูเจ้ามิได้ให้ความสำคัญกับอาจารย์ที่โอ้อวด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อาจารย์ผู้นี้คือ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มนุษย์เก่าที่อยู่ในตัวเราแต่ละคน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พระเยซูเจ้าทรงชี้ให้เห็นว่า</w:t>
      </w:r>
      <w:r>
        <w:rPr>
          <w:rFonts w:ascii="Times New Roman" w:cs="CordiaUPC" w:hAnsi="Times New Roman" w:eastAsia="CordiaUPC"/>
          <w:b w:val="1"/>
          <w:bCs w:val="1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ความสนิทสัมพันธ์คือพระพร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การทำทานด้วย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เงินที่เหลือใช้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เป็นการกระทำแบบจอมปลอม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เพราะเยซูเจ้าทรงแก้ไขพฤติกรรมของมนุษยชาติที่ตกต่ำเสียใหม่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การทำทานที่พระวิหาร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เท่ากับเป็นการถวายนมัสการแด่พระเจ้า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ด้วยเหตุนี้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ของที่นำไปถวายจึงมิใช่วัตถุสิ่งของ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แต่เป็นสัมพันธภาพระหว่างผู้ถวายกับพระเจ้า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จึงไม่รู้สึกประทับใจกับคนมั่งมี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ที่ใส่เงินลงในตู้ทานเป็นจำนวนมาก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เพื่อโอ้อวด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แต่พระองค์ทรงรู้สึกประทับใจกับการกระทำของหญิงม่าย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ที่นำทุกอย่างที่มีอยู่สำหรับเลี้ยงชีพมาทำทาน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พระเยซูเจ้าทรงวัดชีวิตของมนุษย์มิใช่ด้วยตัวเลข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แต่ด้วยความรัก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พระองค์ทรงกระทำเป็นแบบอย่าง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พระองค์มิได้ให้สิ่งของที่พระองค์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มี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แต่ทรงประทานสิ่งที่ทรง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ทรงประทานชีวิตพระของพระองค์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ทรงกระทำเช่นเดียวกับหญิงม่าย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ที่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ให้หมด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นี่คือการให้ตามวิถีทางของพระเจ้า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Hans von Balthasar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คิดเช่นนั้นเมื่อกล่าวว่า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หญิงม่ายผู้นี้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เป็นเครื่องหมายของพระบิดาเจ้า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ผู้ซึ่งรักโลกอย่างมาก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จนถึงกับประทานพระบุตรแต่พระองค์เดียวแก่โลก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พระเจ้าทรงให้หมด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ความเชื่อคือหนทาง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จุดหมายปลายทางของความเชื่อคือพระเจ้า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ทุกชีวิตมุ่งไปยังพระองค์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บรรดานักบุญและผู้ล่วงหลับที่เราระลึกถึงในพิธีกรรมต้นเดือนนี้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พูดและสอนอย่างชัดเจนว่า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ชีวิตเป็นพระพรและสั้นนัก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จึงควรนำมาเจริญด้วยความรัก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และอยู่เพื่อพระเจ้า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ความไม่เที่ยงและความเปราะบาง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บังคับให้เราต้องคิดว่า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โอกาสที่จะเจริญชีวิตบนโลกนี้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เป็นโอกาสเดียวเท่านั้น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ความเชื่อสอนให้รู้จักตอบสนองและทำชีวิตให้เป็นพระพร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การดำเนินชีวิตตามกระแสเรียก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เป็นการตอบรับกับพระเจ้า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พระองค์ทรงมีพระประสงค์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ให้มนุษย์มีส่วนร่วมในพระสิริรุ่งโรจน์ของพระองค์ตลอดนิรันดร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ร่วมสนิทสัมพันธ์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เป็นหนึ่งเดียวกับพระองค์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ซึ่งสิ่งเหล่านี้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เริ่มต้นแล้วในประวัติศาสตร์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จึงเป็นการเหมาะสมที่มนุษย์จะให้การตอบสนองต่อพระองค์อย่างเต็มที่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มนุษย์มิใช่สิ่งสร้างธรรมดา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เนื่องจากพระเจ้าทรงประทับอยู่ภายในตัวเขา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ท่านจงทำความสะอาดภาชนะของท่าน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ให้พร้อมรับพระพรอย่างเต็มที่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อันที่จริง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ทุกคนได้รับการอภัยบาปอย่างเท่าเทียมกัน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แต่การได้รับองค์พระจิตเจ้า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ขึ้นอยู่กับความเชื่อของแต่ละบุคคล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ถ้าท่านทำงานน้อย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ท่านย่อมได้รับน้อย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ถ้าท่านทำมาก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ท่านจะได้รับมากด้วย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ไม่ว่าท่านทำสิ่งใด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ท่านก็ทำเพื่อความดีของท่าน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หากท่านมีเรื่องบาดหมางกับใคร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จงอภัยแก่เขาเถิด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เมื่อท่านเข้าไปรับการอภัยบาป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จำเป็นที่ท่านเองก็ต้องให้อภัยแก่ผู้ที่ได้ทำผิดต่อท่าน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Meditatio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เทียบเคียงตัวฉันกับพระวาจา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)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*</w:t>
      </w: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ชีวิตของข้าพเจ้า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ปิดบังความหลอกลวงและความโลภไว้ไม่ได้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พระเยซูเจ้าทรงสอนศิษย์ของพระองค์ให้กระชากหน้ากากของความหลอกลวงทิ้งไป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และรู้จักให้โดยปราศจากเงื่อนไข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พระองค์ทรงปฏิบัติเป็นแบบอย่าง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ข้าพเจ้าถวายตนเป็นบูชาสำหรับเขา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ยน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17,19)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บนกางเขน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พระองค์ตรัสว่า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สำเร็จบริบูรณ์แล้ว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ยน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19,30)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ความเชื่อทำให้เรามองตลอดเส้นทางชีวิตว่า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เป็นพระพรหนึ่งเดียว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ยิ่งใหญ่ที่สุด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ข้าพเจ้าจะสอดแทรกประวัติศาสตร์ส่วนตัวของข้าพเจ้า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ในประวัติศาสตร์อันยิ่งใหญ่แห่งความรอดได้อย่างไร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?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*</w:t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การตอบสนองที่เกิดจากความรักอมตะของพระเจ้า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เป็นแรงบันดาลใจ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เร่งเร้าให้เราประกาศความเชื่อออกมา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ในปีนี้ที่เราเตรียมฉลอง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350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ปีมิสซังสยาม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ทั่วทั้งพระศาสนจักรในประเทศไทย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และทุกหมู่คณะ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กระทำกิจกรรมต่างๆ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เป็นโอกาสของการฟื้นฟูชีวิตด้วยพระวาจา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Lectio Divina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ศีลศักดิ์สิทธิ์ต่างๆ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เอกภาพและความรักต่อกัน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ความร้อนรนแบบธรรมทูต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ทำให้เกิดการปฏิวัติทางด้านจิตวิญญาณขึ้นมา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นักบุญเบอร์นาร์ดกล่าวว่า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เราต้องมองตัวเราเองและเป็นทุกข์ถึงบาปของเรา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เพื่อเราจะได้รับความรอดพ้น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แต่เราต้องจ้องมองพระเจ้าด้วยความวางใจในพระองค์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เพื่อรับความยินดีและความบันเทาจากองค์พระจิตเจ้า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ด้านหนึ่งเราพบกับความกลัวและความถ่อมตน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อีกด้านหนึ่ง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เราพบความหวังและความรัก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Oratio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พระวาจาของพระเจ้าทำให้เราภาวนา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)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ขอโทษ</w:t>
      </w: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ความฟุ้งเฟ้อของธรรมาจารย์ปรากฏให้เห็น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ชอบสวมเสื้อยาวเดินไปมา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พอใจให้คนทั้งหลายคำนับตามลานสาธารณะ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พอใจนั่งแถวหน้าในศาลาธรรม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พอใจนั่งหัวโต๊ะในงานเลี้ยง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ชอบสวดภาวนายืดยาว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ชอบทำทานเพื่อให้คนเห็น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ขอบคุณ</w:t>
      </w: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พกษ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17,16 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แป้งในไหไม่ขาด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และน้ำมันในเหยือกไม่แห้ง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ตามที่พระยาห์เวห์ตรัสไว้ทางประกาศกเอลียาห์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*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ขอพรพระจิตเจ้า</w:t>
      </w: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เมื่อพระจิตแห่งความจริงเสด็จมา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พระองค์จะทรงนำท่านไปสู่ความจริงทั้งมวล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ยน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16,13)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Contemplatio 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ซึมซับอยู่กับพระวาจา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)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ใช้เวลาอยู่นิ่งๆ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กับพระวาจา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ข้าพเจ้ามีชีวิตอยู่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มิใช่ตัวข้าพเจ้าอีกต่อไป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แต่พระคริสตเจ้า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ทรงดำรงชีวิตอยู่ในตัวข้าพเจ้า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Communicatio 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พระวาจาของพระเจ้าเป็นจริงในชีวิต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)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พระเจ้าอเล็กซันเดอร์ผู้ยิ่งใหญ่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ถามดีโอเยเนที่กำลังมองกองกระดูกของมนุษย์ว่า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ท่านกำลังหาอะไรอยู่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ดีโอเยเนตอบว่า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ข้าพระพุทธเจ้าแยกไม่ออกว่า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กระโหลกลูกไหนเป็นของพระราชบิดาของพระองค์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กระโหลกลูกไหนเป็นของทาสของพระองค์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การรู้จักเตรียมพร้อมเป็นเรื่องสำคัญ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เรียกร้องความหนักแน่น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การวิเคราะห์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การสังเกต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และการตัดสินใจ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รู้จักเตรียมพร้อม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หมายถึงรู้จักเริ่มเดิน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รู้จักเตรียมพร้อมหมายถึงรู้จักจบ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รู้จักเตรียมพร้อมหมายถึงรู้จักตาย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พระเยซูเจ้าทรงสั่งศิษย์ของพระองค์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จงเตรียมพร้อมไว้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เพราะว่าบุตรแห่งมนุษย์จะเสด็จมาในเวลาที่ท่านมิได้คาดหมาย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มธ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24,44)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ความตายมิใช่การบอกลาที่ไม่มีอนาคต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ดังที่หลายคนคิด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โดยเฉพาะอย่างยิ่งบุคคลที่ไม่ได้รับความบันเทาใจ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สำหรับคริสตชน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การจาก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การจบ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การตาย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มิได้เป็นภาวะจำยอม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หรือ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การเข้าสู่ความว่างเปล่า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แต่เป็นการตัดขาดเพื่อการเริ่มต้นใหม่ที่แตกต่างจากเดิม</w:t>
      </w:r>
      <w:r>
        <w:rPr>
          <w:rFonts w:ascii="Times New Roman" w:cs="CordiaUPC" w:hAnsi="Times New Roman" w:eastAsia="CordiaUPC" w:hint="default"/>
          <w:sz w:val="34"/>
          <w:szCs w:val="34"/>
          <w:u w:color="000000"/>
          <w:rtl w:val="0"/>
          <w:lang w:val="en-US"/>
        </w:rPr>
        <w:t xml:space="preserve">”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u w:color="000000"/>
          <w:rtl w:val="0"/>
          <w:lang w:val="en-US"/>
        </w:rPr>
        <w:t>พระคาร์ดินัล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 xml:space="preserve"> </w:t>
      </w: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Gianfranco Ravasi)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  <w:r>
        <w:rPr>
          <w:rFonts w:ascii="Times New Roman" w:cs="CordiaUPC" w:hAnsi="Times New Roman" w:eastAsia="CordiaUPC"/>
          <w:sz w:val="34"/>
          <w:szCs w:val="34"/>
          <w:u w:color="000000"/>
          <w:rtl w:val="0"/>
          <w:lang w:val="en-US"/>
        </w:rPr>
        <w:t>xxxx</w:t>
      </w: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rdiaUPC">
    <w:charset w:val="00"/>
    <w:family w:val="roman"/>
    <w:pitch w:val="default"/>
  </w:font>
  <w:font w:name="BrowalliaUP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